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FA1" w14:textId="19DA7C69" w:rsidR="00D6759D" w:rsidRDefault="00D6759D" w:rsidP="00D6759D">
      <w:pPr>
        <w:rPr>
          <w:b/>
          <w:bCs/>
          <w:sz w:val="28"/>
          <w:szCs w:val="28"/>
        </w:rPr>
      </w:pPr>
      <w:r>
        <w:rPr>
          <w:b/>
          <w:bCs/>
          <w:sz w:val="28"/>
          <w:szCs w:val="28"/>
        </w:rPr>
        <w:t>HSF</w:t>
      </w:r>
      <w:r w:rsidRPr="00A56FDE">
        <w:rPr>
          <w:b/>
          <w:bCs/>
          <w:sz w:val="28"/>
          <w:szCs w:val="28"/>
        </w:rPr>
        <w:t xml:space="preserve"> Qualifying Works</w:t>
      </w:r>
    </w:p>
    <w:tbl>
      <w:tblPr>
        <w:tblStyle w:val="TableGrid"/>
        <w:tblW w:w="0" w:type="auto"/>
        <w:tblLook w:val="04A0" w:firstRow="1" w:lastRow="0" w:firstColumn="1" w:lastColumn="0" w:noHBand="0" w:noVBand="1"/>
      </w:tblPr>
      <w:tblGrid>
        <w:gridCol w:w="1696"/>
        <w:gridCol w:w="7320"/>
      </w:tblGrid>
      <w:tr w:rsidR="00D6759D" w:rsidRPr="00D6759D" w14:paraId="63FCEDCC" w14:textId="77777777" w:rsidTr="00D6759D">
        <w:tc>
          <w:tcPr>
            <w:tcW w:w="1696" w:type="dxa"/>
            <w:shd w:val="clear" w:color="auto" w:fill="D9D9D9" w:themeFill="background1" w:themeFillShade="D9"/>
          </w:tcPr>
          <w:p w14:paraId="1AC9DB48" w14:textId="55B2DE66" w:rsidR="00D6759D" w:rsidRPr="00D6759D" w:rsidRDefault="00D6759D" w:rsidP="00D6759D">
            <w:pPr>
              <w:spacing w:line="276" w:lineRule="auto"/>
              <w:rPr>
                <w:b/>
                <w:bCs/>
                <w:sz w:val="20"/>
                <w:szCs w:val="20"/>
              </w:rPr>
            </w:pPr>
            <w:r w:rsidRPr="00D6759D">
              <w:rPr>
                <w:sz w:val="20"/>
                <w:szCs w:val="20"/>
              </w:rPr>
              <w:t>Roofs</w:t>
            </w:r>
          </w:p>
        </w:tc>
        <w:tc>
          <w:tcPr>
            <w:tcW w:w="7320" w:type="dxa"/>
          </w:tcPr>
          <w:p w14:paraId="4CEE1087" w14:textId="7B58BAEE" w:rsidR="00D6759D" w:rsidRPr="00D6759D" w:rsidRDefault="00D6759D" w:rsidP="00D6759D">
            <w:pPr>
              <w:spacing w:after="160" w:line="276" w:lineRule="auto"/>
              <w:rPr>
                <w:sz w:val="20"/>
                <w:szCs w:val="20"/>
              </w:rPr>
            </w:pPr>
            <w:r w:rsidRPr="00D6759D">
              <w:rPr>
                <w:sz w:val="20"/>
                <w:szCs w:val="20"/>
              </w:rPr>
              <w:t xml:space="preserve">Works to ensure the structural stability and/or weather tightness of a roof using appropriate materials and detailing; the salvage and reuse of existing slate and other materials from the structure should be a priority. Works to repair thatched roofs using appropriate, compatible traditional materials and details, reed is permissible where it replaces a </w:t>
            </w:r>
            <w:proofErr w:type="spellStart"/>
            <w:r w:rsidRPr="00D6759D">
              <w:rPr>
                <w:sz w:val="20"/>
                <w:szCs w:val="20"/>
              </w:rPr>
              <w:t>reed</w:t>
            </w:r>
            <w:proofErr w:type="spellEnd"/>
            <w:r w:rsidRPr="00D6759D">
              <w:rPr>
                <w:sz w:val="20"/>
                <w:szCs w:val="20"/>
              </w:rPr>
              <w:t xml:space="preserve"> roof. Works to renew damaged or missing metal sheeting, gutter </w:t>
            </w:r>
            <w:proofErr w:type="gramStart"/>
            <w:r w:rsidRPr="00D6759D">
              <w:rPr>
                <w:sz w:val="20"/>
                <w:szCs w:val="20"/>
              </w:rPr>
              <w:t>linings</w:t>
            </w:r>
            <w:proofErr w:type="gramEnd"/>
            <w:r w:rsidRPr="00D6759D">
              <w:rPr>
                <w:sz w:val="20"/>
                <w:szCs w:val="20"/>
              </w:rPr>
              <w:t xml:space="preserve"> and flashings (of materials such as lead, copper or zinc) to appropriate details. Where there is a risk of theft of metalwork from a roof, the use of suitable substitute materials as an interim solution may be considered acceptable.</w:t>
            </w:r>
          </w:p>
        </w:tc>
      </w:tr>
      <w:tr w:rsidR="00D6759D" w:rsidRPr="00D6759D" w14:paraId="23AD8C25" w14:textId="77777777" w:rsidTr="00D6759D">
        <w:tc>
          <w:tcPr>
            <w:tcW w:w="1696" w:type="dxa"/>
            <w:shd w:val="clear" w:color="auto" w:fill="D9D9D9" w:themeFill="background1" w:themeFillShade="D9"/>
          </w:tcPr>
          <w:p w14:paraId="793B9461" w14:textId="6681361C" w:rsidR="00D6759D" w:rsidRPr="00D6759D" w:rsidRDefault="00D6759D" w:rsidP="00D6759D">
            <w:pPr>
              <w:spacing w:line="276" w:lineRule="auto"/>
              <w:rPr>
                <w:b/>
                <w:bCs/>
                <w:sz w:val="20"/>
                <w:szCs w:val="20"/>
              </w:rPr>
            </w:pPr>
            <w:r w:rsidRPr="00D6759D">
              <w:rPr>
                <w:sz w:val="20"/>
                <w:szCs w:val="20"/>
              </w:rPr>
              <w:t>Rainwater disposal</w:t>
            </w:r>
          </w:p>
        </w:tc>
        <w:tc>
          <w:tcPr>
            <w:tcW w:w="7320" w:type="dxa"/>
          </w:tcPr>
          <w:p w14:paraId="7DB8554E" w14:textId="3508B4D0" w:rsidR="00D6759D" w:rsidRPr="00D6759D" w:rsidRDefault="00D6759D" w:rsidP="00D6759D">
            <w:pPr>
              <w:spacing w:after="160" w:line="276" w:lineRule="auto"/>
              <w:rPr>
                <w:b/>
                <w:bCs/>
                <w:sz w:val="20"/>
                <w:szCs w:val="20"/>
              </w:rPr>
            </w:pPr>
            <w:r w:rsidRPr="00D6759D">
              <w:rPr>
                <w:sz w:val="20"/>
                <w:szCs w:val="20"/>
              </w:rPr>
              <w:t>Works to repair or, where this is not feasible, replace rainwater goods to ensure efficient disposal of water from the building. Lead and cast-iron should be replaced like-for-like.</w:t>
            </w:r>
            <w:r>
              <w:rPr>
                <w:sz w:val="20"/>
                <w:szCs w:val="20"/>
              </w:rPr>
              <w:t xml:space="preserve"> </w:t>
            </w:r>
            <w:r w:rsidRPr="00D6759D">
              <w:rPr>
                <w:sz w:val="20"/>
                <w:szCs w:val="20"/>
              </w:rPr>
              <w:t>However, where there is a risk of theft or vandalism, the use of suitable substitute materials as an interim solution may be considered acceptable</w:t>
            </w:r>
            <w:r>
              <w:rPr>
                <w:sz w:val="20"/>
                <w:szCs w:val="20"/>
              </w:rPr>
              <w:t>.</w:t>
            </w:r>
          </w:p>
        </w:tc>
      </w:tr>
      <w:tr w:rsidR="00D6759D" w:rsidRPr="00D6759D" w14:paraId="0FD2BE97" w14:textId="77777777" w:rsidTr="00D6759D">
        <w:tc>
          <w:tcPr>
            <w:tcW w:w="1696" w:type="dxa"/>
            <w:shd w:val="clear" w:color="auto" w:fill="D9D9D9" w:themeFill="background1" w:themeFillShade="D9"/>
          </w:tcPr>
          <w:p w14:paraId="53E63631" w14:textId="5F852C9B" w:rsidR="00D6759D" w:rsidRPr="00D6759D" w:rsidRDefault="00D6759D" w:rsidP="00D6759D">
            <w:pPr>
              <w:spacing w:line="276" w:lineRule="auto"/>
              <w:rPr>
                <w:b/>
                <w:bCs/>
                <w:sz w:val="20"/>
                <w:szCs w:val="20"/>
              </w:rPr>
            </w:pPr>
            <w:r w:rsidRPr="00D6759D">
              <w:rPr>
                <w:sz w:val="20"/>
                <w:szCs w:val="20"/>
              </w:rPr>
              <w:t>External walls</w:t>
            </w:r>
          </w:p>
        </w:tc>
        <w:tc>
          <w:tcPr>
            <w:tcW w:w="7320" w:type="dxa"/>
          </w:tcPr>
          <w:p w14:paraId="41B9CBF8" w14:textId="7FCB4AFC" w:rsidR="00D6759D" w:rsidRPr="00D6759D" w:rsidRDefault="00D6759D" w:rsidP="00D6759D">
            <w:pPr>
              <w:spacing w:after="160" w:line="276" w:lineRule="auto"/>
              <w:rPr>
                <w:b/>
                <w:bCs/>
                <w:sz w:val="20"/>
                <w:szCs w:val="20"/>
              </w:rPr>
            </w:pPr>
            <w:r w:rsidRPr="00D6759D">
              <w:rPr>
                <w:sz w:val="20"/>
                <w:szCs w:val="20"/>
              </w:rPr>
              <w:t>Works to ensure the structural stability and/or weather tightness of the building envelope. Works to remedy defects or problems that have the potential to create serious future damage if left untreated, such as foundation settlement, chimney collapse, fungal attack on timber or salt migration within the fabric</w:t>
            </w:r>
            <w:r>
              <w:rPr>
                <w:sz w:val="20"/>
                <w:szCs w:val="20"/>
              </w:rPr>
              <w:t>.</w:t>
            </w:r>
          </w:p>
        </w:tc>
      </w:tr>
      <w:tr w:rsidR="00D6759D" w:rsidRPr="00D6759D" w14:paraId="6D489681" w14:textId="77777777" w:rsidTr="00D6759D">
        <w:tc>
          <w:tcPr>
            <w:tcW w:w="1696" w:type="dxa"/>
            <w:shd w:val="clear" w:color="auto" w:fill="D9D9D9" w:themeFill="background1" w:themeFillShade="D9"/>
          </w:tcPr>
          <w:p w14:paraId="22E66400" w14:textId="56B94BE2" w:rsidR="00D6759D" w:rsidRPr="00D6759D" w:rsidRDefault="00D6759D" w:rsidP="00D6759D">
            <w:pPr>
              <w:spacing w:line="276" w:lineRule="auto"/>
              <w:rPr>
                <w:b/>
                <w:bCs/>
                <w:sz w:val="20"/>
                <w:szCs w:val="20"/>
              </w:rPr>
            </w:pPr>
            <w:r w:rsidRPr="00D6759D">
              <w:rPr>
                <w:sz w:val="20"/>
                <w:szCs w:val="20"/>
              </w:rPr>
              <w:t xml:space="preserve">Windows, </w:t>
            </w:r>
            <w:proofErr w:type="gramStart"/>
            <w:r w:rsidRPr="00D6759D">
              <w:rPr>
                <w:sz w:val="20"/>
                <w:szCs w:val="20"/>
              </w:rPr>
              <w:t>doors</w:t>
            </w:r>
            <w:proofErr w:type="gramEnd"/>
            <w:r w:rsidRPr="00D6759D">
              <w:rPr>
                <w:sz w:val="20"/>
                <w:szCs w:val="20"/>
              </w:rPr>
              <w:t xml:space="preserve"> and associated elements</w:t>
            </w:r>
          </w:p>
        </w:tc>
        <w:tc>
          <w:tcPr>
            <w:tcW w:w="7320" w:type="dxa"/>
          </w:tcPr>
          <w:p w14:paraId="7B970FDD" w14:textId="0EBD8914" w:rsidR="00D6759D" w:rsidRPr="00D6759D" w:rsidRDefault="00D6759D" w:rsidP="00D6759D">
            <w:pPr>
              <w:spacing w:after="160" w:line="276" w:lineRule="auto"/>
              <w:rPr>
                <w:b/>
                <w:bCs/>
                <w:sz w:val="20"/>
                <w:szCs w:val="20"/>
              </w:rPr>
            </w:pPr>
            <w:r w:rsidRPr="00D6759D">
              <w:rPr>
                <w:sz w:val="20"/>
                <w:szCs w:val="20"/>
              </w:rPr>
              <w:t>Works to prevent water ingress. Works to repair significant elements of external joinery with minimal replacement of decayed timber. Repair of stained glass windows and associated works in accordance with best practice as set out in Chapter 6 of The</w:t>
            </w:r>
            <w:r>
              <w:rPr>
                <w:sz w:val="20"/>
                <w:szCs w:val="20"/>
              </w:rPr>
              <w:t xml:space="preserve"> </w:t>
            </w:r>
            <w:r w:rsidRPr="00D6759D">
              <w:rPr>
                <w:sz w:val="20"/>
                <w:szCs w:val="20"/>
              </w:rPr>
              <w:t>Conservation of Places of Worship, Advice Series (2011)</w:t>
            </w:r>
            <w:r>
              <w:rPr>
                <w:sz w:val="20"/>
                <w:szCs w:val="20"/>
              </w:rPr>
              <w:t xml:space="preserve"> </w:t>
            </w:r>
            <w:hyperlink r:id="rId7" w:history="1">
              <w:r w:rsidRPr="00AF590D">
                <w:rPr>
                  <w:rStyle w:val="Hyperlink"/>
                  <w:sz w:val="20"/>
                  <w:szCs w:val="20"/>
                </w:rPr>
                <w:t>https://www.buildingsofireland.ie/app/uploads/2019/10/Places-of-Worship-The-Conservation-of</w:t>
              </w:r>
              <w:r w:rsidRPr="00AF590D">
                <w:rPr>
                  <w:rStyle w:val="Hyperlink"/>
                  <w:sz w:val="20"/>
                  <w:szCs w:val="20"/>
                </w:rPr>
                <w:t>-</w:t>
              </w:r>
              <w:r w:rsidRPr="00AF590D">
                <w:rPr>
                  <w:rStyle w:val="Hyperlink"/>
                  <w:sz w:val="20"/>
                  <w:szCs w:val="20"/>
                </w:rPr>
                <w:t>Places-of-Worship-2011.pdf</w:t>
              </w:r>
            </w:hyperlink>
            <w:r>
              <w:rPr>
                <w:sz w:val="20"/>
                <w:szCs w:val="20"/>
              </w:rPr>
              <w:t xml:space="preserve"> </w:t>
            </w:r>
          </w:p>
        </w:tc>
      </w:tr>
      <w:tr w:rsidR="00D6759D" w:rsidRPr="00D6759D" w14:paraId="29D16C48" w14:textId="77777777" w:rsidTr="00D6759D">
        <w:tc>
          <w:tcPr>
            <w:tcW w:w="1696" w:type="dxa"/>
            <w:shd w:val="clear" w:color="auto" w:fill="D9D9D9" w:themeFill="background1" w:themeFillShade="D9"/>
          </w:tcPr>
          <w:p w14:paraId="14C2D192" w14:textId="657483B8" w:rsidR="00D6759D" w:rsidRPr="00D6759D" w:rsidRDefault="00D6759D" w:rsidP="00D6759D">
            <w:pPr>
              <w:spacing w:line="276" w:lineRule="auto"/>
              <w:rPr>
                <w:b/>
                <w:bCs/>
                <w:sz w:val="20"/>
                <w:szCs w:val="20"/>
              </w:rPr>
            </w:pPr>
            <w:r w:rsidRPr="00D6759D">
              <w:rPr>
                <w:sz w:val="20"/>
                <w:szCs w:val="20"/>
              </w:rPr>
              <w:t>Interiors</w:t>
            </w:r>
          </w:p>
        </w:tc>
        <w:tc>
          <w:tcPr>
            <w:tcW w:w="7320" w:type="dxa"/>
          </w:tcPr>
          <w:p w14:paraId="10EE8783" w14:textId="4FAE369B" w:rsidR="00D6759D" w:rsidRPr="00D6759D" w:rsidRDefault="00D6759D" w:rsidP="00D6759D">
            <w:pPr>
              <w:spacing w:after="160" w:line="276" w:lineRule="auto"/>
              <w:rPr>
                <w:b/>
                <w:bCs/>
                <w:sz w:val="20"/>
                <w:szCs w:val="20"/>
              </w:rPr>
            </w:pPr>
            <w:r w:rsidRPr="00D6759D">
              <w:rPr>
                <w:sz w:val="20"/>
                <w:szCs w:val="20"/>
              </w:rPr>
              <w:t xml:space="preserve">Works to repair internal structural elements such </w:t>
            </w:r>
            <w:proofErr w:type="spellStart"/>
            <w:r w:rsidRPr="00D6759D">
              <w:rPr>
                <w:sz w:val="20"/>
                <w:szCs w:val="20"/>
              </w:rPr>
              <w:t>asfloors</w:t>
            </w:r>
            <w:proofErr w:type="spellEnd"/>
            <w:r w:rsidRPr="00D6759D">
              <w:rPr>
                <w:sz w:val="20"/>
                <w:szCs w:val="20"/>
              </w:rPr>
              <w:t xml:space="preserve">, walls, </w:t>
            </w:r>
            <w:proofErr w:type="gramStart"/>
            <w:r w:rsidRPr="00D6759D">
              <w:rPr>
                <w:sz w:val="20"/>
                <w:szCs w:val="20"/>
              </w:rPr>
              <w:t>staircases</w:t>
            </w:r>
            <w:proofErr w:type="gramEnd"/>
            <w:r w:rsidRPr="00D6759D">
              <w:rPr>
                <w:sz w:val="20"/>
                <w:szCs w:val="20"/>
              </w:rPr>
              <w:t xml:space="preserve"> and partitions. Works to conserve significant decorative features and artwork such as wall and ceiling plasterwork, interior joinery and fittings and decorative elements as appropriate. Works to conserve significant vernacular elements including ceilings and hearths</w:t>
            </w:r>
            <w:r>
              <w:rPr>
                <w:sz w:val="20"/>
                <w:szCs w:val="20"/>
              </w:rPr>
              <w:t>.</w:t>
            </w:r>
          </w:p>
        </w:tc>
      </w:tr>
      <w:tr w:rsidR="00D6759D" w:rsidRPr="00D6759D" w14:paraId="4DEB74FC" w14:textId="77777777" w:rsidTr="00D6759D">
        <w:tc>
          <w:tcPr>
            <w:tcW w:w="1696" w:type="dxa"/>
            <w:shd w:val="clear" w:color="auto" w:fill="D9D9D9" w:themeFill="background1" w:themeFillShade="D9"/>
          </w:tcPr>
          <w:p w14:paraId="6233C8C4" w14:textId="6E545922" w:rsidR="00D6759D" w:rsidRPr="00D6759D" w:rsidRDefault="00D6759D" w:rsidP="00D6759D">
            <w:pPr>
              <w:spacing w:line="276" w:lineRule="auto"/>
              <w:rPr>
                <w:b/>
                <w:bCs/>
                <w:sz w:val="20"/>
                <w:szCs w:val="20"/>
              </w:rPr>
            </w:pPr>
            <w:r w:rsidRPr="00D6759D">
              <w:rPr>
                <w:sz w:val="20"/>
                <w:szCs w:val="20"/>
              </w:rPr>
              <w:t>Shopfronts</w:t>
            </w:r>
          </w:p>
        </w:tc>
        <w:tc>
          <w:tcPr>
            <w:tcW w:w="7320" w:type="dxa"/>
          </w:tcPr>
          <w:p w14:paraId="77A9F366" w14:textId="0747573A" w:rsidR="00D6759D" w:rsidRPr="00D6759D" w:rsidRDefault="00D6759D" w:rsidP="00D6759D">
            <w:pPr>
              <w:spacing w:after="160" w:line="276" w:lineRule="auto"/>
              <w:rPr>
                <w:b/>
                <w:bCs/>
                <w:sz w:val="20"/>
                <w:szCs w:val="20"/>
              </w:rPr>
            </w:pPr>
            <w:r w:rsidRPr="00D6759D">
              <w:rPr>
                <w:sz w:val="20"/>
                <w:szCs w:val="20"/>
              </w:rPr>
              <w:t>Works to repair elements of a historic shopfront, including appropriate replacement of</w:t>
            </w:r>
            <w:r>
              <w:rPr>
                <w:sz w:val="20"/>
                <w:szCs w:val="20"/>
              </w:rPr>
              <w:t xml:space="preserve"> </w:t>
            </w:r>
            <w:r w:rsidRPr="00D6759D">
              <w:rPr>
                <w:sz w:val="20"/>
                <w:szCs w:val="20"/>
              </w:rPr>
              <w:t>small elements of missing detail such as brackets or moulding; repair of shutters or awnings but not the installation of new security screens; repair of signage; repair of details such as gates, tiled or mosaic threshold panels, hanging signs; removal of unsightly and redundant later additions such as cabling, lighting and signage and making good after</w:t>
            </w:r>
            <w:r>
              <w:rPr>
                <w:sz w:val="20"/>
                <w:szCs w:val="20"/>
              </w:rPr>
              <w:t>.</w:t>
            </w:r>
          </w:p>
        </w:tc>
      </w:tr>
      <w:tr w:rsidR="00D6759D" w:rsidRPr="00D6759D" w14:paraId="20A4FCFA" w14:textId="77777777" w:rsidTr="00D6759D">
        <w:tc>
          <w:tcPr>
            <w:tcW w:w="1696" w:type="dxa"/>
            <w:shd w:val="clear" w:color="auto" w:fill="D9D9D9" w:themeFill="background1" w:themeFillShade="D9"/>
          </w:tcPr>
          <w:p w14:paraId="5CF3B4CC" w14:textId="776111C6" w:rsidR="00D6759D" w:rsidRPr="00D6759D" w:rsidRDefault="00D6759D" w:rsidP="00D6759D">
            <w:pPr>
              <w:spacing w:line="276" w:lineRule="auto"/>
              <w:rPr>
                <w:b/>
                <w:bCs/>
                <w:sz w:val="20"/>
                <w:szCs w:val="20"/>
              </w:rPr>
            </w:pPr>
            <w:r w:rsidRPr="00D6759D">
              <w:rPr>
                <w:sz w:val="20"/>
                <w:szCs w:val="20"/>
              </w:rPr>
              <w:t>Temporary works</w:t>
            </w:r>
          </w:p>
        </w:tc>
        <w:tc>
          <w:tcPr>
            <w:tcW w:w="7320" w:type="dxa"/>
          </w:tcPr>
          <w:p w14:paraId="0C6BDA5E" w14:textId="585FD39F" w:rsidR="00D6759D" w:rsidRPr="00D6759D" w:rsidRDefault="00D6759D" w:rsidP="00D6759D">
            <w:pPr>
              <w:spacing w:after="160" w:line="276" w:lineRule="auto"/>
              <w:rPr>
                <w:b/>
                <w:bCs/>
                <w:sz w:val="20"/>
                <w:szCs w:val="20"/>
              </w:rPr>
            </w:pPr>
            <w:r w:rsidRPr="00D6759D">
              <w:rPr>
                <w:sz w:val="20"/>
                <w:szCs w:val="20"/>
              </w:rPr>
              <w:t xml:space="preserve">Works to reduce the risk to a structure from possible or partial collapse, subject to the maintenance of adequate ventilation of the structure, and the protection of significant features of the building from endangerment. In exceptional circumstances, where it is considered necessary to remove fixtures or features of interest for </w:t>
            </w:r>
            <w:proofErr w:type="gramStart"/>
            <w:r w:rsidRPr="00D6759D">
              <w:rPr>
                <w:sz w:val="20"/>
                <w:szCs w:val="20"/>
              </w:rPr>
              <w:t>safe-keeping</w:t>
            </w:r>
            <w:proofErr w:type="gramEnd"/>
            <w:r w:rsidRPr="00D6759D">
              <w:rPr>
                <w:sz w:val="20"/>
                <w:szCs w:val="20"/>
              </w:rPr>
              <w:t>, this shall be conditional on the inclusion of acceptable proposals for their secure storage for later reinstatement within a stated timeframe</w:t>
            </w:r>
            <w:r>
              <w:rPr>
                <w:sz w:val="20"/>
                <w:szCs w:val="20"/>
              </w:rPr>
              <w:t>.</w:t>
            </w:r>
          </w:p>
        </w:tc>
      </w:tr>
      <w:tr w:rsidR="00D6759D" w:rsidRPr="00D6759D" w14:paraId="7E38C972" w14:textId="77777777" w:rsidTr="00D6759D">
        <w:tc>
          <w:tcPr>
            <w:tcW w:w="1696" w:type="dxa"/>
            <w:shd w:val="clear" w:color="auto" w:fill="D9D9D9" w:themeFill="background1" w:themeFillShade="D9"/>
          </w:tcPr>
          <w:p w14:paraId="7489B877" w14:textId="5E53FA3C" w:rsidR="00D6759D" w:rsidRPr="00D6759D" w:rsidRDefault="00D6759D" w:rsidP="00D6759D">
            <w:pPr>
              <w:spacing w:line="276" w:lineRule="auto"/>
              <w:rPr>
                <w:b/>
                <w:bCs/>
                <w:sz w:val="20"/>
                <w:szCs w:val="20"/>
              </w:rPr>
            </w:pPr>
            <w:r w:rsidRPr="00D6759D">
              <w:rPr>
                <w:sz w:val="20"/>
                <w:szCs w:val="20"/>
              </w:rPr>
              <w:t>Historic ruins</w:t>
            </w:r>
          </w:p>
        </w:tc>
        <w:tc>
          <w:tcPr>
            <w:tcW w:w="7320" w:type="dxa"/>
          </w:tcPr>
          <w:p w14:paraId="6276AF87" w14:textId="080124EC" w:rsidR="00D6759D" w:rsidRPr="00D6759D" w:rsidRDefault="00D6759D" w:rsidP="00D6759D">
            <w:pPr>
              <w:spacing w:line="276" w:lineRule="auto"/>
              <w:rPr>
                <w:b/>
                <w:bCs/>
                <w:sz w:val="20"/>
                <w:szCs w:val="20"/>
              </w:rPr>
            </w:pPr>
            <w:r w:rsidRPr="00D6759D">
              <w:rPr>
                <w:sz w:val="20"/>
                <w:szCs w:val="20"/>
              </w:rPr>
              <w:t>Works to stabilise masonry or other elements at risk</w:t>
            </w:r>
            <w:r>
              <w:rPr>
                <w:sz w:val="20"/>
                <w:szCs w:val="20"/>
              </w:rPr>
              <w:t>.</w:t>
            </w:r>
          </w:p>
        </w:tc>
      </w:tr>
      <w:tr w:rsidR="00D6759D" w:rsidRPr="00D6759D" w14:paraId="33619F84" w14:textId="77777777" w:rsidTr="00D6759D">
        <w:tc>
          <w:tcPr>
            <w:tcW w:w="1696" w:type="dxa"/>
            <w:shd w:val="clear" w:color="auto" w:fill="D9D9D9" w:themeFill="background1" w:themeFillShade="D9"/>
          </w:tcPr>
          <w:p w14:paraId="0BF7372A" w14:textId="6F464CF5" w:rsidR="00D6759D" w:rsidRPr="00D6759D" w:rsidRDefault="00D6759D" w:rsidP="00D6759D">
            <w:pPr>
              <w:spacing w:line="276" w:lineRule="auto"/>
              <w:rPr>
                <w:b/>
                <w:bCs/>
                <w:sz w:val="20"/>
                <w:szCs w:val="20"/>
              </w:rPr>
            </w:pPr>
            <w:r w:rsidRPr="00D6759D">
              <w:rPr>
                <w:sz w:val="20"/>
                <w:szCs w:val="20"/>
              </w:rPr>
              <w:t>Other works</w:t>
            </w:r>
          </w:p>
        </w:tc>
        <w:tc>
          <w:tcPr>
            <w:tcW w:w="7320" w:type="dxa"/>
          </w:tcPr>
          <w:p w14:paraId="260BF278" w14:textId="58B3E265" w:rsidR="00D6759D" w:rsidRPr="00D6759D" w:rsidRDefault="00D6759D" w:rsidP="00D6759D">
            <w:pPr>
              <w:spacing w:after="160" w:line="276" w:lineRule="auto"/>
              <w:rPr>
                <w:b/>
                <w:bCs/>
                <w:sz w:val="20"/>
                <w:szCs w:val="20"/>
              </w:rPr>
            </w:pPr>
            <w:r w:rsidRPr="00D6759D">
              <w:rPr>
                <w:sz w:val="20"/>
                <w:szCs w:val="20"/>
              </w:rPr>
              <w:t>A case may be made by the applicant and/or the Local Authority for other works which they deem to be of exceptional importance for consideration by the Department</w:t>
            </w:r>
            <w:r>
              <w:rPr>
                <w:sz w:val="20"/>
                <w:szCs w:val="20"/>
              </w:rPr>
              <w:t>.</w:t>
            </w:r>
          </w:p>
        </w:tc>
      </w:tr>
    </w:tbl>
    <w:p w14:paraId="6DE3994A" w14:textId="77777777" w:rsidR="00D6759D" w:rsidRPr="00D6759D" w:rsidRDefault="00D6759D" w:rsidP="00D6759D">
      <w:pPr>
        <w:spacing w:line="276" w:lineRule="auto"/>
        <w:rPr>
          <w:b/>
          <w:bCs/>
          <w:sz w:val="20"/>
          <w:szCs w:val="20"/>
        </w:rPr>
      </w:pPr>
    </w:p>
    <w:p w14:paraId="6DB3ACDE" w14:textId="55E7477B" w:rsidR="00555B06" w:rsidRPr="00D6759D" w:rsidRDefault="00D6759D" w:rsidP="00D6759D">
      <w:pPr>
        <w:spacing w:line="276" w:lineRule="auto"/>
        <w:rPr>
          <w:sz w:val="20"/>
          <w:szCs w:val="20"/>
        </w:rPr>
      </w:pPr>
      <w:r w:rsidRPr="00D6759D">
        <w:rPr>
          <w:sz w:val="20"/>
          <w:szCs w:val="20"/>
        </w:rPr>
        <w:lastRenderedPageBreak/>
        <w:t>All qualifying works should be in accordance with the standards of best practice as outlined in the</w:t>
      </w:r>
      <w:r>
        <w:rPr>
          <w:sz w:val="20"/>
          <w:szCs w:val="20"/>
        </w:rPr>
        <w:t xml:space="preserve"> </w:t>
      </w:r>
      <w:r w:rsidRPr="00D6759D">
        <w:rPr>
          <w:sz w:val="20"/>
          <w:szCs w:val="20"/>
        </w:rPr>
        <w:t xml:space="preserve">Department’s Architectural Heritage Protection Guidelines for Planning Authorities (2011) </w:t>
      </w:r>
      <w:hyperlink r:id="rId8" w:history="1">
        <w:r w:rsidRPr="00AF590D">
          <w:rPr>
            <w:rStyle w:val="Hyperlink"/>
            <w:sz w:val="20"/>
            <w:szCs w:val="20"/>
          </w:rPr>
          <w:t>https://www.buildingsofireland.ie/app/uploads/2019/10/Architectural-Heritage-Protection</w:t>
        </w:r>
        <w:r w:rsidRPr="00AF590D">
          <w:rPr>
            <w:rStyle w:val="Hyperlink"/>
            <w:sz w:val="20"/>
            <w:szCs w:val="20"/>
          </w:rPr>
          <w:t>-</w:t>
        </w:r>
        <w:r w:rsidRPr="00AF590D">
          <w:rPr>
            <w:rStyle w:val="Hyperlink"/>
            <w:sz w:val="20"/>
            <w:szCs w:val="20"/>
          </w:rPr>
          <w:t>Guidelines-for-Planning-Authorities-2011.pdf</w:t>
        </w:r>
      </w:hyperlink>
      <w:r>
        <w:rPr>
          <w:sz w:val="20"/>
          <w:szCs w:val="20"/>
        </w:rPr>
        <w:t xml:space="preserve"> </w:t>
      </w:r>
      <w:r w:rsidRPr="00D6759D">
        <w:rPr>
          <w:sz w:val="20"/>
          <w:szCs w:val="20"/>
        </w:rPr>
        <w:t xml:space="preserve">and relevant volumes of the Department’s Advice Series </w:t>
      </w:r>
      <w:hyperlink r:id="rId9" w:history="1">
        <w:r w:rsidRPr="00AF590D">
          <w:rPr>
            <w:rStyle w:val="Hyperlink"/>
            <w:sz w:val="20"/>
            <w:szCs w:val="20"/>
          </w:rPr>
          <w:t>https://www.buildingsofireland.ie/resources/</w:t>
        </w:r>
      </w:hyperlink>
      <w:r>
        <w:rPr>
          <w:sz w:val="20"/>
          <w:szCs w:val="20"/>
        </w:rPr>
        <w:t xml:space="preserve"> </w:t>
      </w:r>
    </w:p>
    <w:sectPr w:rsidR="00555B06" w:rsidRPr="00D6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9D"/>
    <w:rsid w:val="00555B06"/>
    <w:rsid w:val="00D675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E87"/>
  <w15:chartTrackingRefBased/>
  <w15:docId w15:val="{788038F0-9BA6-407C-A431-A459B281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59D"/>
    <w:rPr>
      <w:color w:val="0563C1" w:themeColor="hyperlink"/>
      <w:u w:val="single"/>
    </w:rPr>
  </w:style>
  <w:style w:type="character" w:styleId="UnresolvedMention">
    <w:name w:val="Unresolved Mention"/>
    <w:basedOn w:val="DefaultParagraphFont"/>
    <w:uiPriority w:val="99"/>
    <w:semiHidden/>
    <w:unhideWhenUsed/>
    <w:rsid w:val="00D6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ingsofireland.ie/app/uploads/2019/10/Architectural-Heritage-Protection-Guidelines-for-Planning-Authorities-2011.pdf" TargetMode="External"/><Relationship Id="rId3" Type="http://schemas.openxmlformats.org/officeDocument/2006/relationships/customXml" Target="../customXml/item3.xml"/><Relationship Id="rId7" Type="http://schemas.openxmlformats.org/officeDocument/2006/relationships/hyperlink" Target="https://www.buildingsofireland.ie/app/uploads/2019/10/Places-of-Worship-The-Conservation-of-Places-of-Worship-20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uildingsofireland.i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8BD1D19B05A4BACF98F4203F5C098" ma:contentTypeVersion="25" ma:contentTypeDescription="Create a new document." ma:contentTypeScope="" ma:versionID="f917e01237d3b041e2673c9802bf94d5">
  <xsd:schema xmlns:xsd="http://www.w3.org/2001/XMLSchema" xmlns:xs="http://www.w3.org/2001/XMLSchema" xmlns:p="http://schemas.microsoft.com/office/2006/metadata/properties" xmlns:ns2="2e79d50d-5a64-4e6f-ac62-84420a1a3d4a" xmlns:ns3="741afaa6-9453-446f-a425-74531b16a762" xmlns:ns4="58e8b11a-4558-4133-94cf-45060ae74664" xmlns:ns5="0b3ac3d7-252d-45f2-9538-e35783ccd17a" targetNamespace="http://schemas.microsoft.com/office/2006/metadata/properties" ma:root="true" ma:fieldsID="2564b136b4a51ce8fdf22ec14f2769ef" ns2:_="" ns3:_="" ns4:_="" ns5:_="">
    <xsd:import namespace="2e79d50d-5a64-4e6f-ac62-84420a1a3d4a"/>
    <xsd:import namespace="741afaa6-9453-446f-a425-74531b16a762"/>
    <xsd:import namespace="58e8b11a-4558-4133-94cf-45060ae74664"/>
    <xsd:import namespace="0b3ac3d7-252d-45f2-9538-e35783ccd17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71a7b9c-bb6d-41e0-ad67-655096f7c75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71a7b9c-bb6d-41e0-ad67-655096f7c75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c3d7-252d-45f2-9538-e35783ccd17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lcf76f155ced4ddcb4097134ff3c332f xmlns="0b3ac3d7-252d-45f2-9538-e35783ccd17a">
      <Terms xmlns="http://schemas.microsoft.com/office/infopath/2007/PartnerControls"/>
    </lcf76f155ced4ddcb4097134ff3c332f>
    <FileComments xmlns="58e8b11a-4558-4133-94cf-45060ae74664" xsi:nil="true"/>
    <DocSetName xmlns="741afaa6-9453-446f-a425-74531b16a762">fin517-00005-2022</DocSetName>
    <bcf6564c3bf64b598722f14494f25d82 xmlns="741afaa6-9453-446f-a425-74531b16a762">
      <Terms xmlns="http://schemas.microsoft.com/office/infopath/2007/PartnerControls"/>
    </bcf6564c3bf64b598722f14494f25d82>
    <Contact xmlns="2e79d50d-5a64-4e6f-ac62-84420a1a3d4a">
      <UserInfo>
        <DisplayName>Admin Findocs</DisplayName>
        <AccountId>8</AccountId>
        <AccountType/>
      </UserInfo>
    </Contact>
    <TaxCatchAll xmlns="2e79d50d-5a64-4e6f-ac62-84420a1a3d4a" xsi:nil="true"/>
  </documentManagement>
</p:properties>
</file>

<file path=customXml/itemProps1.xml><?xml version="1.0" encoding="utf-8"?>
<ds:datastoreItem xmlns:ds="http://schemas.openxmlformats.org/officeDocument/2006/customXml" ds:itemID="{C31BF7D1-6448-461A-A42E-962D8D8C7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0b3ac3d7-252d-45f2-9538-e35783cc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5356D-C828-4C6B-9799-DB6B8AAFA04F}">
  <ds:schemaRefs>
    <ds:schemaRef ds:uri="http://schemas.microsoft.com/sharepoint/v3/contenttype/forms"/>
  </ds:schemaRefs>
</ds:datastoreItem>
</file>

<file path=customXml/itemProps3.xml><?xml version="1.0" encoding="utf-8"?>
<ds:datastoreItem xmlns:ds="http://schemas.openxmlformats.org/officeDocument/2006/customXml" ds:itemID="{11855741-33D8-4A84-BCD9-5C4EFFAD8760}">
  <ds:schemaRefs>
    <ds:schemaRef ds:uri="http://schemas.microsoft.com/office/2006/documentManagement/types"/>
    <ds:schemaRef ds:uri="http://purl.org/dc/elements/1.1/"/>
    <ds:schemaRef ds:uri="http://schemas.microsoft.com/office/2006/metadata/properties"/>
    <ds:schemaRef ds:uri="2e79d50d-5a64-4e6f-ac62-84420a1a3d4a"/>
    <ds:schemaRef ds:uri="http://schemas.microsoft.com/office/infopath/2007/PartnerControls"/>
    <ds:schemaRef ds:uri="0b3ac3d7-252d-45f2-9538-e35783ccd17a"/>
    <ds:schemaRef ds:uri="http://purl.org/dc/terms/"/>
    <ds:schemaRef ds:uri="http://schemas.openxmlformats.org/package/2006/metadata/core-properties"/>
    <ds:schemaRef ds:uri="58e8b11a-4558-4133-94cf-45060ae74664"/>
    <ds:schemaRef ds:uri="741afaa6-9453-446f-a425-74531b16a7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3551</Characters>
  <Application>Microsoft Office Word</Application>
  <DocSecurity>0</DocSecurity>
  <Lines>29</Lines>
  <Paragraphs>8</Paragraphs>
  <ScaleCrop>false</ScaleCrop>
  <Company>Fingal County Council</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Bergin</dc:creator>
  <cp:keywords/>
  <dc:description/>
  <cp:lastModifiedBy>Helena Bergin</cp:lastModifiedBy>
  <cp:revision>1</cp:revision>
  <dcterms:created xsi:type="dcterms:W3CDTF">2023-11-10T18:55:00Z</dcterms:created>
  <dcterms:modified xsi:type="dcterms:W3CDTF">2023-11-10T19:02:00Z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0x01010072A8BD1D19B05A4BACF98F4203F5C098</vt:lpwstr>
  </property>
  <property fmtid="{D5CDD505-2E9C-101B-9397-08002B2CF9AE}" pid="3" name="FileTags">
    <vt:lpwstr/>
  </property>
  <property fmtid="{D5CDD505-2E9C-101B-9397-08002B2CF9AE}" pid="4" name="Topics">
    <vt:lpwstr/>
  </property>
</Properties>
</file>